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43C34159" w:rsidR="005B2CC8" w:rsidRPr="00061945" w:rsidRDefault="00A441D9" w:rsidP="001F7ECD">
            <w:pPr>
              <w:jc w:val="center"/>
              <w:rPr>
                <w:rFonts w:cs="Arial"/>
              </w:rPr>
            </w:pPr>
            <w:r>
              <w:rPr>
                <w:noProof/>
              </w:rPr>
              <w:drawing>
                <wp:inline distT="0" distB="0" distL="0" distR="0" wp14:anchorId="34AEDE68" wp14:editId="339704EA">
                  <wp:extent cx="2247900" cy="2247900"/>
                  <wp:effectExtent l="0" t="0" r="0" b="0"/>
                  <wp:docPr id="19" name="Picture 19"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mage is the school'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tc>
        <w:tc>
          <w:tcPr>
            <w:tcW w:w="6389" w:type="dxa"/>
            <w:gridSpan w:val="2"/>
            <w:vAlign w:val="center"/>
          </w:tcPr>
          <w:p w14:paraId="73A76E0B" w14:textId="7074500D" w:rsidR="00391F04" w:rsidRDefault="004976C6" w:rsidP="0003559D">
            <w:pPr>
              <w:jc w:val="center"/>
              <w:rPr>
                <w:rFonts w:cs="Arial"/>
                <w:b/>
                <w:bCs/>
                <w:sz w:val="40"/>
                <w:szCs w:val="40"/>
              </w:rPr>
            </w:pPr>
            <w:r>
              <w:rPr>
                <w:rFonts w:cs="Arial"/>
                <w:b/>
                <w:bCs/>
                <w:sz w:val="40"/>
                <w:szCs w:val="40"/>
              </w:rPr>
              <w:t xml:space="preserve">St </w:t>
            </w:r>
            <w:r w:rsidR="00A441D9">
              <w:rPr>
                <w:rFonts w:cs="Arial"/>
                <w:b/>
                <w:bCs/>
                <w:sz w:val="40"/>
                <w:szCs w:val="40"/>
              </w:rPr>
              <w:t>Joseph’s</w:t>
            </w:r>
          </w:p>
          <w:p w14:paraId="57308874" w14:textId="2F5F3CAC" w:rsidR="005B2CC8" w:rsidRPr="00383029" w:rsidRDefault="00F01C75" w:rsidP="0003559D">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51134886" w14:textId="77777777" w:rsidR="00FE4924" w:rsidRPr="007B79C8" w:rsidRDefault="00FE4924" w:rsidP="00FE4924">
            <w:pPr>
              <w:jc w:val="center"/>
              <w:rPr>
                <w:rStyle w:val="apple-style-span"/>
                <w:rFonts w:cs="Arial"/>
                <w:b/>
                <w:bCs/>
                <w:color w:val="000000"/>
              </w:rPr>
            </w:pPr>
            <w:r w:rsidRPr="007B79C8">
              <w:rPr>
                <w:rStyle w:val="apple-style-span"/>
                <w:rFonts w:cs="Arial"/>
                <w:b/>
                <w:bCs/>
                <w:color w:val="000000"/>
              </w:rPr>
              <w:t>Regents Gate, Long Causeway, Exmouth, Devon EX8 1TA</w:t>
            </w:r>
          </w:p>
          <w:p w14:paraId="6BD21637" w14:textId="77777777" w:rsidR="00FE4924" w:rsidRPr="00090597" w:rsidRDefault="00FE4924" w:rsidP="00FE4924">
            <w:pPr>
              <w:jc w:val="center"/>
              <w:rPr>
                <w:rStyle w:val="apple-style-span"/>
                <w:rFonts w:cs="Arial"/>
              </w:rPr>
            </w:pPr>
            <w:r w:rsidRPr="00090597">
              <w:rPr>
                <w:rStyle w:val="apple-style-span"/>
                <w:rFonts w:cs="Arial"/>
              </w:rPr>
              <w:t>01395 264875</w:t>
            </w:r>
          </w:p>
          <w:p w14:paraId="75AB3E81" w14:textId="77777777" w:rsidR="00FE4924" w:rsidRPr="00090597" w:rsidRDefault="004C68D0" w:rsidP="00FE4924">
            <w:pPr>
              <w:jc w:val="center"/>
              <w:rPr>
                <w:rStyle w:val="apple-style-span"/>
                <w:rFonts w:cs="Arial"/>
              </w:rPr>
            </w:pPr>
            <w:hyperlink r:id="rId9" w:history="1">
              <w:r w:rsidR="00FE4924" w:rsidRPr="00090597">
                <w:rPr>
                  <w:rStyle w:val="Hyperlink"/>
                  <w:rFonts w:cs="Arial"/>
                </w:rPr>
                <w:t>admin@stjo.uk</w:t>
              </w:r>
            </w:hyperlink>
          </w:p>
          <w:p w14:paraId="49AB7DF8" w14:textId="4589C4E3" w:rsidR="005B2CC8" w:rsidRPr="00D252EC" w:rsidRDefault="004C68D0" w:rsidP="00FE4924">
            <w:pPr>
              <w:jc w:val="center"/>
              <w:rPr>
                <w:rFonts w:cs="Arial"/>
                <w:color w:val="0000FF"/>
                <w:u w:val="single"/>
                <w:shd w:val="clear" w:color="auto" w:fill="FFFFFF"/>
              </w:rPr>
            </w:pPr>
            <w:hyperlink r:id="rId10" w:history="1">
              <w:r w:rsidR="00FE4924" w:rsidRPr="00090597">
                <w:rPr>
                  <w:rStyle w:val="Hyperlink"/>
                  <w:rFonts w:cs="Arial"/>
                </w:rPr>
                <w:t>www.stjosephsprimaryschool.com</w:t>
              </w:r>
            </w:hyperlink>
            <w:r w:rsidR="00FE4924">
              <w:rPr>
                <w:rStyle w:val="apple-style-span"/>
              </w:rPr>
              <w:t xml:space="preserve">  </w:t>
            </w:r>
            <w:r w:rsidR="00FE4924">
              <w:rPr>
                <w:rStyle w:val="Hyperlink"/>
                <w:rFonts w:cs="Arial"/>
              </w:rPr>
              <w:t xml:space="preserve"> </w:t>
            </w:r>
            <w:r w:rsidR="00FE4924">
              <w:rPr>
                <w:rStyle w:val="Hyperlink"/>
              </w:rPr>
              <w:t xml:space="preserve"> </w:t>
            </w:r>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4C68D0"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4C68D0"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61B81D45" w:rsidR="00791627" w:rsidRPr="00061945" w:rsidRDefault="004C68D0"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4062985F" w:rsidR="00260F69" w:rsidRPr="00061945" w:rsidRDefault="00A152C7" w:rsidP="00B02A35">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283799A4" w:rsidR="00791627" w:rsidRPr="00061945" w:rsidRDefault="00117A14" w:rsidP="00791627">
            <w:pPr>
              <w:rPr>
                <w:rFonts w:cs="Arial"/>
              </w:rPr>
            </w:pPr>
            <w:r w:rsidRPr="00061945">
              <w:rPr>
                <w:rFonts w:cs="Arial"/>
              </w:rPr>
              <w:t>878-</w:t>
            </w:r>
            <w:r w:rsidR="00ED6B62">
              <w:rPr>
                <w:rFonts w:cs="Arial"/>
              </w:rPr>
              <w:t>3310</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08CAE0ED" w:rsidR="00E827BE" w:rsidRPr="00061945" w:rsidRDefault="00195CAC" w:rsidP="00791627">
            <w:pPr>
              <w:rPr>
                <w:rFonts w:cs="Arial"/>
              </w:rPr>
            </w:pPr>
            <w:r>
              <w:rPr>
                <w:rFonts w:cs="Arial"/>
              </w:rPr>
              <w:t>From the age of 2</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6C8635BD" w:rsidR="00791627" w:rsidRPr="00061945" w:rsidRDefault="00195CAC" w:rsidP="00791627">
            <w:pPr>
              <w:rPr>
                <w:rFonts w:cs="Arial"/>
                <w:b/>
                <w:bCs/>
              </w:rPr>
            </w:pPr>
            <w:r>
              <w:rPr>
                <w:rFonts w:cs="Arial"/>
                <w:b/>
                <w:bCs/>
              </w:rPr>
              <w:t>30</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1A655627" w:rsidR="00791627" w:rsidRPr="00061945" w:rsidRDefault="00ED6B62" w:rsidP="00791627">
            <w:pPr>
              <w:rPr>
                <w:rFonts w:cs="Arial"/>
              </w:rPr>
            </w:pPr>
            <w:r>
              <w:rPr>
                <w:rFonts w:cs="Arial"/>
              </w:rPr>
              <w:t>Exmouth Community College</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29A770BE" w:rsidR="00791627" w:rsidRPr="00061945" w:rsidRDefault="00195CAC" w:rsidP="00791627">
            <w:pPr>
              <w:rPr>
                <w:rFonts w:cs="Arial"/>
              </w:rPr>
            </w:pPr>
            <w:r>
              <w:rPr>
                <w:rFonts w:cs="Arial"/>
              </w:rPr>
              <w:t xml:space="preserve">St </w:t>
            </w:r>
            <w:r w:rsidR="00ED6B62">
              <w:rPr>
                <w:rFonts w:cs="Arial"/>
              </w:rPr>
              <w:t>Joseph’s</w:t>
            </w:r>
            <w:r>
              <w:rPr>
                <w:rFonts w:cs="Arial"/>
              </w:rPr>
              <w:t xml:space="preserve"> School Nursery</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0ECE0607" w14:textId="77777777" w:rsidR="00791627" w:rsidRDefault="004C68D0"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CC0CCC">
              <w:rPr>
                <w:rFonts w:cs="Arial"/>
              </w:rPr>
              <w:t>.</w:t>
            </w:r>
          </w:p>
          <w:p w14:paraId="2C3BD8D2" w14:textId="77777777" w:rsidR="00CC0CCC" w:rsidRDefault="00CC0CCC" w:rsidP="00791627">
            <w:pPr>
              <w:rPr>
                <w:rFonts w:cs="Arial"/>
              </w:rPr>
            </w:pPr>
          </w:p>
          <w:p w14:paraId="09CE5801" w14:textId="28F859E6" w:rsidR="00CC0CCC" w:rsidRPr="00061945" w:rsidRDefault="00CC0CCC"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648FF79F"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0B7D3490" w:rsidR="007671B5" w:rsidRPr="00061945" w:rsidRDefault="00FF045E"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CC0CCC">
        <w:tc>
          <w:tcPr>
            <w:tcW w:w="3969"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531"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4C68D0"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CC0CCC">
        <w:tc>
          <w:tcPr>
            <w:tcW w:w="3969"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531"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4C68D0"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CC0CCC">
        <w:tc>
          <w:tcPr>
            <w:tcW w:w="3969"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531"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4C68D0"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CC0CCC">
        <w:tc>
          <w:tcPr>
            <w:tcW w:w="3969"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531"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4C68D0"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CC0CCC">
        <w:tc>
          <w:tcPr>
            <w:tcW w:w="3969"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531"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4C68D0"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CC0CCC">
        <w:tc>
          <w:tcPr>
            <w:tcW w:w="3969"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531" w:type="dxa"/>
            <w:tcBorders>
              <w:top w:val="nil"/>
              <w:bottom w:val="nil"/>
            </w:tcBorders>
          </w:tcPr>
          <w:p w14:paraId="1624C352" w14:textId="0524FE7A" w:rsidR="008F048C" w:rsidRPr="00061945" w:rsidRDefault="004C68D0"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CC0CCC">
        <w:tc>
          <w:tcPr>
            <w:tcW w:w="3969"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531" w:type="dxa"/>
            <w:tcBorders>
              <w:top w:val="nil"/>
              <w:bottom w:val="nil"/>
            </w:tcBorders>
          </w:tcPr>
          <w:p w14:paraId="174D7479" w14:textId="59678B15" w:rsidR="008F048C" w:rsidRPr="00061945" w:rsidRDefault="004C68D0"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CC0CCC">
        <w:tc>
          <w:tcPr>
            <w:tcW w:w="3969"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531"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4C68D0"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CC0CCC">
        <w:tc>
          <w:tcPr>
            <w:tcW w:w="3969"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531"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4C68D0"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CC0CCC">
        <w:tc>
          <w:tcPr>
            <w:tcW w:w="3969"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531"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4C68D0"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CC0CCC">
        <w:tc>
          <w:tcPr>
            <w:tcW w:w="3969"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531" w:type="dxa"/>
            <w:tcBorders>
              <w:top w:val="nil"/>
              <w:bottom w:val="nil"/>
            </w:tcBorders>
          </w:tcPr>
          <w:p w14:paraId="3F803AB9" w14:textId="4F5EDB69" w:rsidR="00EF202A" w:rsidRPr="00061945" w:rsidRDefault="004C68D0"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CC0CCC">
        <w:tc>
          <w:tcPr>
            <w:tcW w:w="3969"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531" w:type="dxa"/>
            <w:tcBorders>
              <w:top w:val="nil"/>
              <w:bottom w:val="nil"/>
            </w:tcBorders>
          </w:tcPr>
          <w:p w14:paraId="05080824" w14:textId="77777777" w:rsidR="00EF202A" w:rsidRPr="00061945" w:rsidRDefault="004C68D0"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CC0CCC">
        <w:tc>
          <w:tcPr>
            <w:tcW w:w="3969"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531" w:type="dxa"/>
            <w:tcBorders>
              <w:top w:val="nil"/>
            </w:tcBorders>
          </w:tcPr>
          <w:p w14:paraId="389AA657" w14:textId="77777777" w:rsidR="00EF202A" w:rsidRPr="00061945" w:rsidRDefault="004C68D0"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4C68D0"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4C68D0"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4C68D0"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4C68D0"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4C68D0"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4C68D0"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4C68D0"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CC0CCC" w:rsidRDefault="00BA1A72" w:rsidP="00CC0CCC">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CC0CCC">
              <w:rPr>
                <w:rFonts w:cs="Arial"/>
                <w:b/>
                <w:bCs/>
              </w:rPr>
              <w:t>Catholic</w:t>
            </w:r>
            <w:r w:rsidRPr="00061945">
              <w:rPr>
                <w:rStyle w:val="FootnoteReference"/>
                <w:rFonts w:cs="Arial"/>
                <w:b/>
                <w:bCs/>
              </w:rPr>
              <w:footnoteReference w:id="7"/>
            </w:r>
            <w:r w:rsidRPr="00CC0CCC">
              <w:rPr>
                <w:rFonts w:cs="Arial"/>
                <w:b/>
                <w:bCs/>
              </w:rPr>
              <w:t xml:space="preserve"> looked after</w:t>
            </w:r>
            <w:r w:rsidRPr="00061945">
              <w:rPr>
                <w:rStyle w:val="FootnoteReference"/>
                <w:rFonts w:cs="Arial"/>
                <w:b/>
                <w:bCs/>
              </w:rPr>
              <w:footnoteReference w:id="8"/>
            </w:r>
            <w:r w:rsidRPr="00CC0CCC">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CC0CCC" w:rsidRDefault="00BA1A72" w:rsidP="00CC0CCC">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CC0CCC">
              <w:rPr>
                <w:rFonts w:cs="Arial"/>
                <w:b/>
                <w:bCs/>
              </w:rPr>
              <w:t>ther Catholic</w:t>
            </w:r>
            <w:r w:rsidRPr="00061945">
              <w:rPr>
                <w:rStyle w:val="FootnoteReference"/>
                <w:rFonts w:cs="Arial"/>
                <w:b/>
                <w:bCs/>
              </w:rPr>
              <w:footnoteReference w:id="10"/>
            </w:r>
            <w:r w:rsidRPr="00CC0CCC">
              <w:rPr>
                <w:rFonts w:cs="Arial"/>
                <w:b/>
                <w:bCs/>
              </w:rPr>
              <w:t xml:space="preserve"> children</w:t>
            </w:r>
            <w:r w:rsidRPr="00061945">
              <w:rPr>
                <w:rFonts w:cs="Arial"/>
                <w:b/>
                <w:bCs/>
              </w:rPr>
              <w:t>.</w:t>
            </w:r>
          </w:p>
          <w:p w14:paraId="0052ABC3" w14:textId="61A35F3A" w:rsidR="00BA1A72" w:rsidRPr="00061945" w:rsidRDefault="00BA1A72" w:rsidP="00CC0CCC">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CC0CCC">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CC0CCC">
            <w:pPr>
              <w:numPr>
                <w:ilvl w:val="0"/>
                <w:numId w:val="44"/>
              </w:numPr>
              <w:jc w:val="both"/>
              <w:rPr>
                <w:rFonts w:cs="Arial"/>
              </w:rPr>
            </w:pPr>
            <w:r w:rsidRPr="00061945">
              <w:rPr>
                <w:rFonts w:cs="Arial"/>
                <w:b/>
                <w:color w:val="000000"/>
              </w:rPr>
              <w:t xml:space="preserve">Priority will next be given to </w:t>
            </w:r>
            <w:r w:rsidRPr="00CC0CCC">
              <w:rPr>
                <w:rFonts w:cs="Arial"/>
                <w:b/>
                <w:bCs/>
              </w:rPr>
              <w:t>Catechumens</w:t>
            </w:r>
            <w:r w:rsidRPr="00061945">
              <w:rPr>
                <w:rStyle w:val="FootnoteReference"/>
                <w:rFonts w:cs="Arial"/>
                <w:b/>
                <w:bCs/>
              </w:rPr>
              <w:footnoteReference w:id="12"/>
            </w:r>
            <w:r w:rsidRPr="00CC0CCC">
              <w:rPr>
                <w:rFonts w:cs="Arial"/>
                <w:b/>
                <w:bCs/>
              </w:rPr>
              <w:t xml:space="preserve"> and members of an Eastern Christian Church</w:t>
            </w:r>
            <w:r w:rsidRPr="00061945">
              <w:rPr>
                <w:rStyle w:val="FootnoteReference"/>
                <w:rFonts w:cs="Arial"/>
                <w:b/>
                <w:bCs/>
              </w:rPr>
              <w:footnoteReference w:id="13"/>
            </w:r>
            <w:r w:rsidRPr="00CC0CCC">
              <w:rPr>
                <w:rFonts w:cs="Arial"/>
                <w:b/>
                <w:bCs/>
              </w:rPr>
              <w:t>.</w:t>
            </w:r>
          </w:p>
          <w:p w14:paraId="006DBDE1" w14:textId="2FFB8150" w:rsidR="00203D95" w:rsidRPr="00061945" w:rsidRDefault="00BA1A72" w:rsidP="00CC0CCC">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CC0CCC">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1904811E" w14:textId="77777777" w:rsidR="00CC0CCC" w:rsidRDefault="00CC0CCC" w:rsidP="00CC0CCC">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3DC685CD" w14:textId="2FD9CCF0" w:rsidR="001D1338" w:rsidRPr="00DA1794" w:rsidRDefault="001D1338" w:rsidP="00CC0CCC">
            <w:pPr>
              <w:pStyle w:val="ListParagraph"/>
              <w:numPr>
                <w:ilvl w:val="0"/>
                <w:numId w:val="44"/>
              </w:numPr>
              <w:jc w:val="both"/>
              <w:textAlignment w:val="auto"/>
              <w:rPr>
                <w:rFonts w:eastAsia="Calibri" w:cs="Arial"/>
                <w:b/>
                <w:sz w:val="20"/>
              </w:rPr>
            </w:pPr>
            <w:r w:rsidRPr="00DA1794">
              <w:rPr>
                <w:rFonts w:eastAsia="Calibri" w:cs="Arial"/>
                <w:b/>
                <w:sz w:val="20"/>
              </w:rPr>
              <w:t xml:space="preserve">Priority will next be given to children attending the St </w:t>
            </w:r>
            <w:r w:rsidR="00ED6B62">
              <w:rPr>
                <w:rFonts w:eastAsia="Calibri" w:cs="Arial"/>
                <w:b/>
                <w:sz w:val="20"/>
              </w:rPr>
              <w:t>Joseph’s</w:t>
            </w:r>
            <w:r w:rsidRPr="00DA1794">
              <w:rPr>
                <w:rFonts w:eastAsia="Calibri" w:cs="Arial"/>
                <w:b/>
                <w:sz w:val="20"/>
              </w:rPr>
              <w:t xml:space="preserve"> School Nursery at the time of the application.</w:t>
            </w:r>
            <w:r w:rsidRPr="00DA1794">
              <w:rPr>
                <w:rStyle w:val="FootnoteReference"/>
                <w:rFonts w:eastAsia="Calibri" w:cs="Arial"/>
                <w:b/>
                <w:sz w:val="20"/>
              </w:rPr>
              <w:footnoteReference w:id="19"/>
            </w:r>
            <w:r w:rsidRPr="00DA1794">
              <w:rPr>
                <w:rFonts w:eastAsia="Calibri" w:cs="Arial"/>
                <w:b/>
                <w:sz w:val="20"/>
              </w:rPr>
              <w:t xml:space="preserve">  </w:t>
            </w:r>
          </w:p>
          <w:p w14:paraId="6E399B6C" w14:textId="20997A85" w:rsidR="00A905C3" w:rsidRPr="00061945" w:rsidRDefault="00A905C3" w:rsidP="00CC0CCC">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4C68D0"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77F3AA63" w14:textId="77777777" w:rsidR="00517CA5" w:rsidRDefault="00517CA5" w:rsidP="00517CA5">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20"/>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1"/>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721CE5ED"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517CA5">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2"/>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764EB2BF" w14:textId="77777777" w:rsidR="008C394D" w:rsidRPr="00061945" w:rsidRDefault="008C394D" w:rsidP="008C394D">
      <w:pPr>
        <w:spacing w:after="0" w:line="240" w:lineRule="auto"/>
        <w:jc w:val="both"/>
        <w:rPr>
          <w:rFonts w:cs="Arial"/>
        </w:rPr>
      </w:pP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3"/>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15CB55F4" w14:textId="77777777" w:rsidR="00517CA5" w:rsidRDefault="00517CA5" w:rsidP="00517CA5">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34AD33CE" w14:textId="77777777" w:rsidR="00517CA5" w:rsidRDefault="00517CA5" w:rsidP="00517CA5">
            <w:pPr>
              <w:spacing w:after="0" w:line="240" w:lineRule="auto"/>
              <w:jc w:val="both"/>
              <w:rPr>
                <w:rFonts w:cs="Arial"/>
              </w:rPr>
            </w:pPr>
          </w:p>
          <w:p w14:paraId="73A92838" w14:textId="77777777" w:rsidR="00517CA5" w:rsidRDefault="00517CA5" w:rsidP="00517CA5">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3B78EA00" w14:textId="77777777" w:rsidR="00517CA5" w:rsidRDefault="00517CA5" w:rsidP="00517CA5">
            <w:pPr>
              <w:spacing w:after="0" w:line="240" w:lineRule="auto"/>
              <w:jc w:val="both"/>
              <w:rPr>
                <w:rFonts w:cs="Arial"/>
              </w:rPr>
            </w:pPr>
          </w:p>
          <w:p w14:paraId="28B5CD01" w14:textId="77777777" w:rsidR="00517CA5" w:rsidRDefault="00517CA5" w:rsidP="00517CA5">
            <w:pPr>
              <w:spacing w:after="0" w:line="240" w:lineRule="auto"/>
              <w:jc w:val="both"/>
              <w:rPr>
                <w:rFonts w:cs="Arial"/>
              </w:rPr>
            </w:pPr>
            <w:r>
              <w:rPr>
                <w:rFonts w:cs="Arial"/>
              </w:rPr>
              <w:t>Where a parent is no longer a member of staff, priority on that basis will cease.</w:t>
            </w:r>
          </w:p>
          <w:p w14:paraId="61867262" w14:textId="77777777" w:rsidR="00517CA5" w:rsidRDefault="00517CA5" w:rsidP="00517CA5">
            <w:pPr>
              <w:spacing w:after="0" w:line="240" w:lineRule="auto"/>
              <w:jc w:val="both"/>
              <w:rPr>
                <w:rFonts w:cs="Arial"/>
              </w:rPr>
            </w:pPr>
          </w:p>
          <w:p w14:paraId="68BF9166" w14:textId="7DDEFD54" w:rsidR="004363D4" w:rsidRPr="00061945" w:rsidRDefault="00517CA5" w:rsidP="00517CA5">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4674AFA" w14:textId="77777777" w:rsidR="00517CA5" w:rsidRDefault="00517CA5" w:rsidP="00517CA5">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09B41CB6" w14:textId="77777777" w:rsidR="00517CA5" w:rsidRDefault="00517CA5" w:rsidP="00517CA5">
            <w:pPr>
              <w:spacing w:after="0" w:line="240" w:lineRule="auto"/>
              <w:jc w:val="both"/>
              <w:rPr>
                <w:rFonts w:cs="Arial"/>
              </w:rPr>
            </w:pPr>
          </w:p>
          <w:p w14:paraId="5DBE14F5" w14:textId="77777777" w:rsidR="00517CA5" w:rsidRDefault="00517CA5" w:rsidP="00517CA5">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036E699" w14:textId="77777777" w:rsidR="00517CA5" w:rsidRDefault="00517CA5" w:rsidP="00517CA5">
            <w:pPr>
              <w:spacing w:after="0" w:line="240" w:lineRule="auto"/>
              <w:jc w:val="both"/>
              <w:rPr>
                <w:rFonts w:cs="Arial"/>
              </w:rPr>
            </w:pPr>
          </w:p>
          <w:p w14:paraId="3539757E" w14:textId="77777777" w:rsidR="00517CA5" w:rsidRDefault="00517CA5" w:rsidP="00517CA5">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85D2A8D" w14:textId="77777777" w:rsidR="00517CA5" w:rsidRDefault="00517CA5" w:rsidP="00517CA5">
            <w:pPr>
              <w:spacing w:after="0" w:line="240" w:lineRule="auto"/>
              <w:jc w:val="both"/>
              <w:rPr>
                <w:rFonts w:cs="Arial"/>
              </w:rPr>
            </w:pPr>
          </w:p>
          <w:p w14:paraId="293663E0" w14:textId="77777777" w:rsidR="00517CA5" w:rsidRDefault="00517CA5" w:rsidP="00517CA5">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26A25D92" w14:textId="77777777" w:rsidR="00517CA5" w:rsidRDefault="00517CA5" w:rsidP="00517CA5">
            <w:pPr>
              <w:spacing w:after="0" w:line="240" w:lineRule="auto"/>
              <w:jc w:val="both"/>
              <w:rPr>
                <w:rFonts w:cs="Arial"/>
              </w:rPr>
            </w:pPr>
          </w:p>
          <w:p w14:paraId="62F2A06F" w14:textId="3DEC71AC" w:rsidR="00187BEC" w:rsidRPr="00061945" w:rsidRDefault="00517CA5" w:rsidP="00517CA5">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1230A8AC" w:rsidR="001541D4" w:rsidRPr="00061945" w:rsidRDefault="00750D4E" w:rsidP="00E321E1">
            <w:pPr>
              <w:pStyle w:val="BodyText"/>
              <w:overflowPunct w:val="0"/>
              <w:autoSpaceDE w:val="0"/>
              <w:autoSpaceDN w:val="0"/>
              <w:adjustRightInd w:val="0"/>
              <w:jc w:val="center"/>
              <w:rPr>
                <w:rFonts w:ascii="Arial" w:hAnsi="Arial" w:cs="Arial"/>
                <w:b/>
              </w:rPr>
            </w:pPr>
            <w:r>
              <w:rPr>
                <w:noProof/>
              </w:rPr>
              <w:drawing>
                <wp:inline distT="0" distB="0" distL="0" distR="0" wp14:anchorId="6FC38E78" wp14:editId="21895AE4">
                  <wp:extent cx="1257300" cy="1257300"/>
                  <wp:effectExtent l="0" t="0" r="0" b="0"/>
                  <wp:docPr id="17" name="Picture 17"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mage is the school's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72B0BCEF" w:rsidR="004D2592" w:rsidRPr="00F9082C" w:rsidRDefault="00042C0B" w:rsidP="004D2592">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 xml:space="preserve">St </w:t>
            </w:r>
            <w:r w:rsidR="00750D4E">
              <w:rPr>
                <w:rFonts w:ascii="Arial" w:hAnsi="Arial" w:cs="Arial"/>
                <w:b/>
                <w:bCs/>
                <w:sz w:val="40"/>
                <w:szCs w:val="40"/>
              </w:rPr>
              <w:t>Joseph’s</w:t>
            </w:r>
            <w:r w:rsidR="00F4338D">
              <w:rPr>
                <w:rFonts w:ascii="Arial" w:hAnsi="Arial" w:cs="Arial"/>
                <w:b/>
                <w:bCs/>
                <w:sz w:val="40"/>
                <w:szCs w:val="40"/>
              </w:rPr>
              <w:t xml:space="preserve"> </w:t>
            </w:r>
            <w:r w:rsidR="00DF5047" w:rsidRPr="00F9082C">
              <w:rPr>
                <w:rFonts w:ascii="Arial" w:hAnsi="Arial" w:cs="Arial"/>
                <w:b/>
                <w:bCs/>
                <w:sz w:val="40"/>
                <w:szCs w:val="40"/>
              </w:rPr>
              <w:t>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517CA5">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2D046E43" w14:textId="3B28FE61" w:rsidR="008350E6" w:rsidRDefault="00E8192B" w:rsidP="008350E6">
            <w:pPr>
              <w:rPr>
                <w:rStyle w:val="apple-style-span"/>
                <w:rFonts w:cs="Arial"/>
                <w:b/>
                <w:bCs/>
                <w:color w:val="000000"/>
              </w:rPr>
            </w:pPr>
            <w:r w:rsidRPr="00BB60D0">
              <w:rPr>
                <w:rFonts w:cs="Arial"/>
                <w:bCs/>
              </w:rPr>
              <w:t>or to the school at:</w:t>
            </w:r>
            <w:r>
              <w:rPr>
                <w:rFonts w:cs="Arial"/>
                <w:bCs/>
              </w:rPr>
              <w:t xml:space="preserve"> </w:t>
            </w:r>
            <w:r w:rsidR="00750D4E">
              <w:rPr>
                <w:rStyle w:val="apple-style-span"/>
                <w:rFonts w:cs="Arial"/>
                <w:b/>
                <w:bCs/>
                <w:color w:val="000000"/>
              </w:rPr>
              <w:t>Regents Gate, Long Causeway, Exmouth, Devon EX8 1TA</w:t>
            </w: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7397456C" w:rsidR="00B74082" w:rsidRPr="00061945" w:rsidRDefault="00334644"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0D4F246B" wp14:editId="17362AD0">
                  <wp:extent cx="1076325" cy="1076325"/>
                  <wp:effectExtent l="0" t="0" r="9525" b="9525"/>
                  <wp:docPr id="16" name="Picture 16"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mage is the school's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7842" w:type="dxa"/>
            <w:gridSpan w:val="3"/>
            <w:vAlign w:val="center"/>
            <w:hideMark/>
          </w:tcPr>
          <w:p w14:paraId="74E40968" w14:textId="0AC0FD29" w:rsidR="00B74082" w:rsidRPr="000F105D" w:rsidRDefault="00837DBA" w:rsidP="00320801">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 xml:space="preserve">St </w:t>
            </w:r>
            <w:r w:rsidR="00334644">
              <w:rPr>
                <w:rFonts w:ascii="Arial" w:hAnsi="Arial" w:cs="Arial"/>
                <w:b/>
                <w:bCs/>
                <w:sz w:val="40"/>
                <w:szCs w:val="40"/>
              </w:rPr>
              <w:t>Joseph’s</w:t>
            </w:r>
            <w:r w:rsidR="00F4338D">
              <w:rPr>
                <w:rFonts w:ascii="Arial" w:hAnsi="Arial" w:cs="Arial"/>
                <w:b/>
                <w:bCs/>
                <w:sz w:val="40"/>
                <w:szCs w:val="40"/>
              </w:rPr>
              <w:t xml:space="preserve"> </w:t>
            </w:r>
            <w:r w:rsidR="00ED55D3" w:rsidRPr="000F105D">
              <w:rPr>
                <w:rFonts w:ascii="Arial" w:hAnsi="Arial" w:cs="Arial"/>
                <w:b/>
                <w:bCs/>
                <w:sz w:val="40"/>
                <w:szCs w:val="40"/>
              </w:rPr>
              <w:t>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5BD0CF13" w14:textId="77777777" w:rsidR="00517CA5" w:rsidRPr="00061945" w:rsidRDefault="00517CA5"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4"/>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5"/>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6"/>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7"/>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8"/>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9"/>
            </w:r>
            <w:r w:rsidRPr="00061945">
              <w:rPr>
                <w:rFonts w:cs="Arial"/>
                <w:color w:val="000000"/>
              </w:rPr>
              <w:t xml:space="preserve"> who regularly attend</w:t>
            </w:r>
            <w:r w:rsidRPr="00061945">
              <w:rPr>
                <w:rFonts w:cs="Arial"/>
                <w:color w:val="000000"/>
                <w:vertAlign w:val="superscript"/>
              </w:rPr>
              <w:footnoteReference w:id="30"/>
            </w:r>
            <w:r w:rsidRPr="00061945">
              <w:rPr>
                <w:rFonts w:cs="Arial"/>
                <w:color w:val="000000"/>
              </w:rPr>
              <w:t xml:space="preserve"> a Christian church</w:t>
            </w:r>
            <w:r w:rsidRPr="00061945">
              <w:rPr>
                <w:rFonts w:cs="Arial"/>
                <w:color w:val="000000"/>
                <w:vertAlign w:val="superscript"/>
              </w:rPr>
              <w:footnoteReference w:id="31"/>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229CE55E" w14:textId="009D7C91" w:rsidR="001F69E6" w:rsidRDefault="001F69E6" w:rsidP="001D1338">
            <w:pPr>
              <w:spacing w:after="160" w:line="259" w:lineRule="auto"/>
              <w:rPr>
                <w:rStyle w:val="apple-style-span"/>
                <w:rFonts w:cs="Arial"/>
                <w:b/>
                <w:bCs/>
                <w:color w:val="000000"/>
              </w:rPr>
            </w:pPr>
            <w:r>
              <w:rPr>
                <w:rFonts w:cs="Arial"/>
                <w:bCs/>
              </w:rPr>
              <w:t xml:space="preserve">or to the school at: </w:t>
            </w:r>
            <w:r w:rsidR="00334644">
              <w:rPr>
                <w:rStyle w:val="apple-style-span"/>
                <w:rFonts w:cs="Arial"/>
                <w:b/>
                <w:bCs/>
                <w:color w:val="000000"/>
              </w:rPr>
              <w:t>Regents Gate, Long Causeway, Exmouth, Devon EX8 1TA</w:t>
            </w:r>
          </w:p>
          <w:p w14:paraId="2826F848" w14:textId="77777777" w:rsidR="008618FA" w:rsidRDefault="008618FA" w:rsidP="001D1338">
            <w:pPr>
              <w:spacing w:after="160" w:line="259" w:lineRule="auto"/>
              <w:rPr>
                <w:rFonts w:cs="Arial"/>
                <w:b/>
                <w:bCs/>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CC0CCC">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CC0CCC" w:rsidRDefault="00BA1A72" w:rsidP="00CC0CCC">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5CDA2866" w14:textId="77777777" w:rsidR="00CC0CCC" w:rsidRDefault="00CC0CCC" w:rsidP="00CC0CCC">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84CBC5A" w14:textId="77777777" w:rsidR="00CC0CCC" w:rsidRDefault="00CC0CCC" w:rsidP="00CC0CCC">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407E45D" w14:textId="77777777" w:rsidR="001D1338" w:rsidRDefault="001D1338" w:rsidP="001D1338">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1">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2">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1F69E6" w:rsidRPr="00CC0CCC" w:rsidRDefault="001F69E6" w:rsidP="00CC0CC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1F69E6" w:rsidRPr="00CC0CCC" w:rsidRDefault="001F69E6" w:rsidP="00CC0CC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2F857E63"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559D"/>
    <w:rsid w:val="00042C0B"/>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A1B44"/>
    <w:rsid w:val="000B115C"/>
    <w:rsid w:val="000B36EE"/>
    <w:rsid w:val="000B46EF"/>
    <w:rsid w:val="000B4B53"/>
    <w:rsid w:val="000B6147"/>
    <w:rsid w:val="000B6223"/>
    <w:rsid w:val="000B7921"/>
    <w:rsid w:val="000B7CF7"/>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18D0"/>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5CAC"/>
    <w:rsid w:val="001961BD"/>
    <w:rsid w:val="00196376"/>
    <w:rsid w:val="00197388"/>
    <w:rsid w:val="001A01F0"/>
    <w:rsid w:val="001A51F0"/>
    <w:rsid w:val="001A5A2E"/>
    <w:rsid w:val="001A73FA"/>
    <w:rsid w:val="001A7456"/>
    <w:rsid w:val="001A7548"/>
    <w:rsid w:val="001B55E6"/>
    <w:rsid w:val="001C4AD0"/>
    <w:rsid w:val="001C6DDA"/>
    <w:rsid w:val="001D0725"/>
    <w:rsid w:val="001D112D"/>
    <w:rsid w:val="001D1338"/>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4671B"/>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444B"/>
    <w:rsid w:val="00334644"/>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1F04"/>
    <w:rsid w:val="00393E99"/>
    <w:rsid w:val="0039497F"/>
    <w:rsid w:val="00395663"/>
    <w:rsid w:val="003A1322"/>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0755F"/>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976C6"/>
    <w:rsid w:val="004A0737"/>
    <w:rsid w:val="004A2D3E"/>
    <w:rsid w:val="004A7B93"/>
    <w:rsid w:val="004B4EFB"/>
    <w:rsid w:val="004B7E6E"/>
    <w:rsid w:val="004C0CD5"/>
    <w:rsid w:val="004C50BE"/>
    <w:rsid w:val="004C68D0"/>
    <w:rsid w:val="004D2592"/>
    <w:rsid w:val="004D32D6"/>
    <w:rsid w:val="004D6C1D"/>
    <w:rsid w:val="004E16A8"/>
    <w:rsid w:val="004E4DE4"/>
    <w:rsid w:val="004E7FBA"/>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17CA5"/>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E712F"/>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468C"/>
    <w:rsid w:val="00715671"/>
    <w:rsid w:val="00716EE1"/>
    <w:rsid w:val="0071719E"/>
    <w:rsid w:val="00717AFB"/>
    <w:rsid w:val="00720983"/>
    <w:rsid w:val="0072525B"/>
    <w:rsid w:val="00725A87"/>
    <w:rsid w:val="00726FEA"/>
    <w:rsid w:val="00750D4E"/>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37DBA"/>
    <w:rsid w:val="00840C89"/>
    <w:rsid w:val="008410CE"/>
    <w:rsid w:val="00841491"/>
    <w:rsid w:val="00843667"/>
    <w:rsid w:val="00843920"/>
    <w:rsid w:val="00844E2E"/>
    <w:rsid w:val="0085184E"/>
    <w:rsid w:val="008524C9"/>
    <w:rsid w:val="008545A3"/>
    <w:rsid w:val="008618FA"/>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04F0"/>
    <w:rsid w:val="008D13A1"/>
    <w:rsid w:val="008D1CD4"/>
    <w:rsid w:val="008E0F0F"/>
    <w:rsid w:val="008E3308"/>
    <w:rsid w:val="008F048C"/>
    <w:rsid w:val="008F1A9C"/>
    <w:rsid w:val="008F3B56"/>
    <w:rsid w:val="008F57B3"/>
    <w:rsid w:val="008F6991"/>
    <w:rsid w:val="00900BC1"/>
    <w:rsid w:val="00903F91"/>
    <w:rsid w:val="0091369B"/>
    <w:rsid w:val="009153EF"/>
    <w:rsid w:val="009174B8"/>
    <w:rsid w:val="00917CC9"/>
    <w:rsid w:val="009219CD"/>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3083"/>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4A11"/>
    <w:rsid w:val="00A3533D"/>
    <w:rsid w:val="00A441D9"/>
    <w:rsid w:val="00A509B0"/>
    <w:rsid w:val="00A521BE"/>
    <w:rsid w:val="00A529EA"/>
    <w:rsid w:val="00A53142"/>
    <w:rsid w:val="00A56325"/>
    <w:rsid w:val="00A63228"/>
    <w:rsid w:val="00A64EF7"/>
    <w:rsid w:val="00A67C60"/>
    <w:rsid w:val="00A713D5"/>
    <w:rsid w:val="00A73799"/>
    <w:rsid w:val="00A76D87"/>
    <w:rsid w:val="00A77553"/>
    <w:rsid w:val="00A816D7"/>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2A35"/>
    <w:rsid w:val="00B02FA3"/>
    <w:rsid w:val="00B03A92"/>
    <w:rsid w:val="00B06D06"/>
    <w:rsid w:val="00B13C6D"/>
    <w:rsid w:val="00B15970"/>
    <w:rsid w:val="00B1690F"/>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8311D"/>
    <w:rsid w:val="00B91292"/>
    <w:rsid w:val="00B91BEF"/>
    <w:rsid w:val="00B93B95"/>
    <w:rsid w:val="00B94E2B"/>
    <w:rsid w:val="00B95470"/>
    <w:rsid w:val="00B95A28"/>
    <w:rsid w:val="00B96E14"/>
    <w:rsid w:val="00BA10A2"/>
    <w:rsid w:val="00BA1A72"/>
    <w:rsid w:val="00BA5181"/>
    <w:rsid w:val="00BB2281"/>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0CCC"/>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252EC"/>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4858"/>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36E5B"/>
    <w:rsid w:val="00E412E7"/>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7D3E"/>
    <w:rsid w:val="00EC5DB3"/>
    <w:rsid w:val="00ED1224"/>
    <w:rsid w:val="00ED2567"/>
    <w:rsid w:val="00ED55D3"/>
    <w:rsid w:val="00ED6B62"/>
    <w:rsid w:val="00EE5BDD"/>
    <w:rsid w:val="00EF202A"/>
    <w:rsid w:val="00EF24BF"/>
    <w:rsid w:val="00EF34AB"/>
    <w:rsid w:val="00F01C75"/>
    <w:rsid w:val="00F02847"/>
    <w:rsid w:val="00F04AB5"/>
    <w:rsid w:val="00F05AE8"/>
    <w:rsid w:val="00F10652"/>
    <w:rsid w:val="00F10EA9"/>
    <w:rsid w:val="00F159BA"/>
    <w:rsid w:val="00F16F02"/>
    <w:rsid w:val="00F17131"/>
    <w:rsid w:val="00F2050E"/>
    <w:rsid w:val="00F21D25"/>
    <w:rsid w:val="00F22A97"/>
    <w:rsid w:val="00F25EE4"/>
    <w:rsid w:val="00F30BE7"/>
    <w:rsid w:val="00F40D88"/>
    <w:rsid w:val="00F4338D"/>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E4924"/>
    <w:rsid w:val="00FF045E"/>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4975011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76829176">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25648899">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26173150">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63981626">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70759142">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0" Type="http://schemas.openxmlformats.org/officeDocument/2006/relationships/hyperlink" Target="http://www.plymouth-diocese.org.uk/" TargetMode="External"/><Relationship Id="rId29" Type="http://schemas.openxmlformats.org/officeDocument/2006/relationships/hyperlink" Target="mailto:RC-DCS-HQ-CEAS@mod.gov.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61" Type="http://schemas.openxmlformats.org/officeDocument/2006/relationships/hyperlink" Target="http://devon.cc/schoolpolicy" TargetMode="External"/><Relationship Id="rId10" Type="http://schemas.openxmlformats.org/officeDocument/2006/relationships/hyperlink" Target="http://www.stjosephsprimaryschool.com"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jo.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jpe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10362</Words>
  <Characters>59067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2023-12-07T09:32:00Z</cp:lastPrinted>
  <dcterms:created xsi:type="dcterms:W3CDTF">2024-03-12T17:45:00Z</dcterms:created>
  <dcterms:modified xsi:type="dcterms:W3CDTF">2024-03-12T17:45:00Z</dcterms:modified>
</cp:coreProperties>
</file>